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85" w:rsidRPr="007B3959" w:rsidRDefault="00343E85" w:rsidP="00343E85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7B3959">
        <w:rPr>
          <w:rFonts w:ascii="Arial" w:hAnsi="Arial" w:cs="Arial"/>
          <w:b/>
          <w:caps/>
          <w:sz w:val="24"/>
          <w:szCs w:val="24"/>
          <w:lang w:val="ru-RU"/>
        </w:rPr>
        <w:t xml:space="preserve">Программа итогового экзамена по дисциплине </w:t>
      </w:r>
    </w:p>
    <w:p w:rsidR="00343E85" w:rsidRPr="007B3959" w:rsidRDefault="00343E85" w:rsidP="00343E85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7B3959">
        <w:rPr>
          <w:rFonts w:ascii="Arial" w:hAnsi="Arial" w:cs="Arial"/>
          <w:b/>
          <w:caps/>
          <w:sz w:val="24"/>
          <w:szCs w:val="24"/>
          <w:lang w:val="en-GB"/>
        </w:rPr>
        <w:t>11</w:t>
      </w:r>
      <w:r w:rsidRPr="007B3959">
        <w:rPr>
          <w:rFonts w:ascii="Arial" w:hAnsi="Arial" w:cs="Arial"/>
          <w:b/>
          <w:caps/>
          <w:sz w:val="24"/>
          <w:szCs w:val="24"/>
          <w:lang w:val="ru-RU"/>
        </w:rPr>
        <w:t>37484, Мировой политический процесс</w:t>
      </w:r>
    </w:p>
    <w:p w:rsidR="00343E85" w:rsidRPr="007B3959" w:rsidRDefault="00343E85" w:rsidP="00343E85">
      <w:pPr>
        <w:pStyle w:val="NoSpacing"/>
        <w:jc w:val="center"/>
        <w:rPr>
          <w:rFonts w:ascii="Arial" w:hAnsi="Arial" w:cs="Arial"/>
          <w:caps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7B3959">
        <w:rPr>
          <w:rFonts w:ascii="Arial" w:hAnsi="Arial" w:cs="Arial"/>
          <w:b/>
          <w:caps/>
          <w:sz w:val="24"/>
          <w:szCs w:val="24"/>
          <w:lang w:val="ru-RU"/>
        </w:rPr>
        <w:t>Общая информация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Период </w:t>
      </w:r>
      <w:r w:rsidRPr="007B3959">
        <w:rPr>
          <w:rFonts w:ascii="Arial" w:hAnsi="Arial" w:cs="Arial"/>
          <w:sz w:val="24"/>
          <w:szCs w:val="24"/>
          <w:lang w:val="ru-RU"/>
        </w:rPr>
        <w:t>обучения: семестр 1 (14.09.2020</w:t>
      </w:r>
      <w:r w:rsidRPr="007B3959">
        <w:rPr>
          <w:rFonts w:ascii="Arial" w:hAnsi="Arial" w:cs="Arial"/>
          <w:sz w:val="24"/>
          <w:szCs w:val="24"/>
          <w:lang w:val="ru-RU"/>
        </w:rPr>
        <w:t>: 26.12.2020)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Специальность: </w:t>
      </w:r>
      <w:r w:rsidRPr="007B3959">
        <w:rPr>
          <w:rFonts w:ascii="Arial" w:hAnsi="Arial" w:cs="Arial"/>
          <w:caps/>
          <w:sz w:val="24"/>
          <w:szCs w:val="24"/>
          <w:lang w:val="ru-RU"/>
        </w:rPr>
        <w:t>5B050200</w:t>
      </w:r>
      <w:r w:rsidR="007B3959">
        <w:rPr>
          <w:rFonts w:ascii="Arial" w:hAnsi="Arial" w:cs="Arial"/>
          <w:b/>
          <w:caps/>
          <w:sz w:val="24"/>
          <w:szCs w:val="24"/>
          <w:lang w:val="ru-RU"/>
        </w:rPr>
        <w:t xml:space="preserve"> </w:t>
      </w:r>
      <w:r w:rsidRPr="007B3959">
        <w:rPr>
          <w:rFonts w:ascii="Arial" w:hAnsi="Arial" w:cs="Arial"/>
          <w:sz w:val="24"/>
          <w:szCs w:val="24"/>
          <w:lang w:val="ru-RU"/>
        </w:rPr>
        <w:t>Политология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Курс: 3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Форма обучения: дневная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Дисциплина: </w:t>
      </w:r>
      <w:r w:rsidRPr="007B3959">
        <w:rPr>
          <w:rFonts w:ascii="Arial" w:hAnsi="Arial" w:cs="Arial"/>
          <w:sz w:val="24"/>
          <w:szCs w:val="24"/>
          <w:lang w:val="ru-RU"/>
        </w:rPr>
        <w:t>37484, Мировой политический процесс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Препода</w:t>
      </w:r>
      <w:bookmarkStart w:id="0" w:name="_GoBack"/>
      <w:bookmarkEnd w:id="0"/>
      <w:r w:rsidRPr="007B3959">
        <w:rPr>
          <w:rFonts w:ascii="Arial" w:hAnsi="Arial" w:cs="Arial"/>
          <w:sz w:val="24"/>
          <w:szCs w:val="24"/>
          <w:lang w:val="ru-RU"/>
        </w:rPr>
        <w:t>ватель: Бузуртанова М. М.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7B3959">
        <w:rPr>
          <w:rFonts w:ascii="Arial" w:hAnsi="Arial" w:cs="Arial"/>
          <w:b/>
          <w:caps/>
          <w:sz w:val="24"/>
          <w:szCs w:val="24"/>
          <w:lang w:val="ru-RU"/>
        </w:rPr>
        <w:t>правила проведения экзамена;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Формат - онлайн, дистанционный, то есть обучающийся сдает экзамен в режиме реального времени «здесь и сейчас».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Устный экзамен – обучающийся по расписанию экзаменов связывается с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преподавателем либо с представителями экзаменационной комиссии через онлайн</w:t>
      </w:r>
    </w:p>
    <w:p w:rsidR="00343E85" w:rsidRPr="007B3959" w:rsidRDefault="00343E85" w:rsidP="00343E85">
      <w:pPr>
        <w:pStyle w:val="NoSpacing"/>
        <w:rPr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платформу для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вебинаров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Microsoft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Teams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. При технических проблемах – ZOOM,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Skype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 и другие. Для обучающихся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 магистратуры экзамен принимает </w:t>
      </w:r>
      <w:r w:rsidRPr="007B3959">
        <w:rPr>
          <w:rFonts w:ascii="Arial" w:hAnsi="Arial" w:cs="Arial"/>
          <w:b/>
          <w:sz w:val="24"/>
          <w:szCs w:val="24"/>
          <w:lang w:val="ru-RU"/>
        </w:rPr>
        <w:t>Экзаменационная комиссия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Э</w:t>
      </w:r>
      <w:r w:rsidRPr="007B3959">
        <w:rPr>
          <w:rFonts w:ascii="Arial" w:hAnsi="Arial" w:cs="Arial"/>
          <w:sz w:val="24"/>
          <w:szCs w:val="24"/>
          <w:lang w:val="ru-RU"/>
        </w:rPr>
        <w:t>кзаменационная комиссия: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• осуществляет видеозапись экзамена,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• заполняет протокол на каждого экзаменуемого (в течение месяца после проведения экзамена).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Время на подготовку – 20 минут.</w:t>
      </w:r>
    </w:p>
    <w:p w:rsidR="00343E85" w:rsidRPr="007B3959" w:rsidRDefault="00343E85" w:rsidP="00343E85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Время на ответ –15-20 минут на ответ на все вопросы билета.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Перед экзаменом:</w:t>
      </w:r>
    </w:p>
    <w:p w:rsidR="00343E85" w:rsidRPr="007B3959" w:rsidRDefault="00343E85" w:rsidP="00343E85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Организатор экзамена-конференции – преподаватель, который будет принимать экзамен – заранее планирует конференцию на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Microsoft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Teams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 и высылает приглашение участникам экзамена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 и членам комиссии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. В день экзамена, за 30 минут преподаватель напоминает студентам о начале экзамена в общем чате.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Во время экзамена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;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После соединения в конференции онлайн всех участников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 член комиссии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343E85" w:rsidRPr="007B3959" w:rsidRDefault="00343E85" w:rsidP="00343E8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включает ВИДЕОЗАПИСЬ экзамена; </w:t>
      </w:r>
    </w:p>
    <w:p w:rsidR="00343E85" w:rsidRPr="007B3959" w:rsidRDefault="00343E85" w:rsidP="00343E8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приветствует участников экзамена; </w:t>
      </w:r>
    </w:p>
    <w:p w:rsidR="00343E85" w:rsidRPr="007B3959" w:rsidRDefault="00343E85" w:rsidP="00343E8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предупреждает о том, что ведется видеозапись; </w:t>
      </w:r>
    </w:p>
    <w:p w:rsidR="00343E85" w:rsidRPr="007B3959" w:rsidRDefault="00343E85" w:rsidP="00343E8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оглашает регламент экзамена: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− порядок экзаменуемых,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− время на подготовку,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− время на ответ;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− дает разрешение на составление тезисов ответов при необходимости на бумаге ручкой;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− предупреждает, что экзаменуемый должен будет продемонстрировать лист с тезисами перед началом ответа;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− разрешает другим экзаменуемым быть в режиме ожидания – не находиться перед камерой постоянно, но не выходить из совещания; </w:t>
      </w:r>
    </w:p>
    <w:p w:rsidR="00343E85" w:rsidRPr="007B3959" w:rsidRDefault="00343E85" w:rsidP="00343E8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оглашает фамилию, имя и отчество экзаменуемого; </w:t>
      </w:r>
    </w:p>
    <w:p w:rsidR="00343E85" w:rsidRPr="007B3959" w:rsidRDefault="00343E85" w:rsidP="00343E8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lastRenderedPageBreak/>
        <w:t xml:space="preserve">просит экзаменуемого показать на видеокамеру документ, удостоверяющий личность 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 • предупреждает о запрете на использование дополнительных источников информации; • называет номер билета, на который должен ответить экзаменуемый; • публикует файл конкретного билета в чате; </w:t>
      </w:r>
    </w:p>
    <w:p w:rsidR="00343E85" w:rsidRPr="007B3959" w:rsidRDefault="00343E85" w:rsidP="00343E8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дает время на подготовку – на усмотрение преподавателя и комиссии; • контролирует процесс подготовки по видеосвязи, делая замечания при необходимости; • принимает ответ экзаменуемого; </w:t>
      </w:r>
    </w:p>
    <w:p w:rsidR="00343E85" w:rsidRPr="007B3959" w:rsidRDefault="00343E85" w:rsidP="00343E8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разрешает сдавшему экзамен покинуть совещание.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Далее процедура повторяется с каждым участником экзамена.</w:t>
      </w:r>
    </w:p>
    <w:p w:rsidR="00343E85" w:rsidRPr="007B3959" w:rsidRDefault="00343E85" w:rsidP="00343E85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 xml:space="preserve">По итогам сдачи экзамена: </w:t>
      </w:r>
    </w:p>
    <w:p w:rsidR="00343E85" w:rsidRPr="007B3959" w:rsidRDefault="00343E85" w:rsidP="00343E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преподаватель или комиссия аттестует участников экзамена; </w:t>
      </w:r>
    </w:p>
    <w:p w:rsidR="00343E85" w:rsidRPr="007B3959" w:rsidRDefault="00343E85" w:rsidP="00343E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выставляет баллы в итоговую ведомость в системе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Univer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; </w:t>
      </w:r>
    </w:p>
    <w:p w:rsidR="00343E85" w:rsidRPr="007B3959" w:rsidRDefault="00343E85" w:rsidP="00343E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составляет протокол на каждого обучающегося (в течение месяца после проведения экзамена).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Время на выставление баллов в аттестационную ведомость за устный экзамен – 48 часов.</w:t>
      </w:r>
    </w:p>
    <w:p w:rsidR="00343E85" w:rsidRPr="007B3959" w:rsidRDefault="00343E85" w:rsidP="00343E85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7B3959">
        <w:rPr>
          <w:rFonts w:ascii="Arial" w:hAnsi="Arial" w:cs="Arial"/>
          <w:b/>
          <w:caps/>
          <w:sz w:val="24"/>
          <w:szCs w:val="24"/>
          <w:lang w:val="ru-RU"/>
        </w:rPr>
        <w:t>политика оценивания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316"/>
        <w:gridCol w:w="1559"/>
        <w:gridCol w:w="5259"/>
      </w:tblGrid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Оценка</w:t>
            </w:r>
          </w:p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по буквенной системе</w:t>
            </w:r>
          </w:p>
        </w:tc>
        <w:tc>
          <w:tcPr>
            <w:tcW w:w="113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Цифровой эквивалент</w:t>
            </w:r>
          </w:p>
        </w:tc>
        <w:tc>
          <w:tcPr>
            <w:tcW w:w="155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Баллы (%-</w:t>
            </w:r>
            <w:proofErr w:type="spellStart"/>
            <w:r w:rsidRPr="007B3959">
              <w:rPr>
                <w:rFonts w:ascii="Arial" w:hAnsi="Arial" w:cs="Arial"/>
              </w:rPr>
              <w:t>ное</w:t>
            </w:r>
            <w:proofErr w:type="spellEnd"/>
            <w:r w:rsidRPr="007B3959">
              <w:rPr>
                <w:rFonts w:ascii="Arial" w:hAnsi="Arial" w:cs="Arial"/>
              </w:rPr>
              <w:t xml:space="preserve"> содержание)</w:t>
            </w:r>
          </w:p>
        </w:tc>
        <w:tc>
          <w:tcPr>
            <w:tcW w:w="525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Оценка</w:t>
            </w:r>
          </w:p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по традиционной системе</w:t>
            </w: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95-100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b/>
                <w:sz w:val="24"/>
                <w:szCs w:val="24"/>
                <w:lang w:val="ru-RU"/>
              </w:rPr>
              <w:t>Отлично: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отличный уровень знаний и понимания материала курса;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оригинальность и критическое мышление;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независимая аргументация;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осведомленность о нюансах рассматриваемого вопроса;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отличное использование примеров.</w:t>
            </w:r>
          </w:p>
          <w:p w:rsidR="00343E85" w:rsidRPr="007B3959" w:rsidRDefault="00343E85" w:rsidP="00D6113A">
            <w:pPr>
              <w:ind w:left="20"/>
              <w:jc w:val="both"/>
              <w:rPr>
                <w:rFonts w:ascii="Arial" w:hAnsi="Arial" w:cs="Arial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А-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90-94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В+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85-89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Хорошо: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хороший уровень знания и понимания материала курса;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структурированное и логичное изложение;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аргументация с соответствующими примерами.</w:t>
            </w:r>
          </w:p>
          <w:p w:rsidR="00343E85" w:rsidRPr="007B3959" w:rsidRDefault="00343E85" w:rsidP="00D6113A">
            <w:pPr>
              <w:ind w:left="20"/>
              <w:jc w:val="both"/>
              <w:rPr>
                <w:rFonts w:ascii="Arial" w:hAnsi="Arial" w:cs="Arial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80-84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В-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75-79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С+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70-74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65-69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Удовлетворительно: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некоторые знания и понимание материала курса.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ответ соответствует вопросу билета;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 продемонстрировано понимание основных аспектов излагаемого вопроса;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недостаточная структурированность и согласованность ответа;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неполная аргументация;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некоторые фактические неточности и пробелы.</w:t>
            </w:r>
          </w:p>
          <w:p w:rsidR="00343E85" w:rsidRPr="007B3959" w:rsidRDefault="00343E85" w:rsidP="00D6113A">
            <w:pPr>
              <w:ind w:left="20"/>
              <w:jc w:val="both"/>
              <w:rPr>
                <w:rFonts w:ascii="Arial" w:hAnsi="Arial" w:cs="Arial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С-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60-64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D+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55-59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D-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50-54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lastRenderedPageBreak/>
              <w:t>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25-49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jc w:val="both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Неудовлетворительно: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очень ограниченные знания или понимание материала курса;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слишком короткий, плохо организованный и структурированный ответ;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вопрос билета проигнорирован или не раскрыт;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отсутствие аргументации;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большое количество фактических ошибок и пробелов;</w:t>
            </w:r>
          </w:p>
          <w:p w:rsidR="00343E85" w:rsidRPr="007B3959" w:rsidRDefault="00343E85" w:rsidP="00D6113A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B3959">
              <w:rPr>
                <w:rFonts w:ascii="Arial" w:hAnsi="Arial" w:cs="Arial"/>
                <w:sz w:val="24"/>
                <w:szCs w:val="24"/>
                <w:lang w:val="ru-RU"/>
              </w:rPr>
              <w:t>- ответ не был предоставлен совсем или студент отказался предоставить ответ.</w:t>
            </w:r>
          </w:p>
          <w:p w:rsidR="00343E85" w:rsidRPr="007B3959" w:rsidRDefault="00343E85" w:rsidP="00D6113A">
            <w:pPr>
              <w:ind w:left="20"/>
              <w:jc w:val="both"/>
              <w:rPr>
                <w:rFonts w:ascii="Arial" w:hAnsi="Arial" w:cs="Arial"/>
              </w:rPr>
            </w:pPr>
          </w:p>
        </w:tc>
      </w:tr>
      <w:tr w:rsidR="00343E85" w:rsidRPr="007B3959" w:rsidTr="00D6113A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E85" w:rsidRPr="007B3959" w:rsidRDefault="00343E85" w:rsidP="00D6113A">
            <w:pPr>
              <w:ind w:left="20"/>
              <w:rPr>
                <w:rFonts w:ascii="Arial" w:hAnsi="Arial" w:cs="Arial"/>
              </w:rPr>
            </w:pPr>
            <w:r w:rsidRPr="007B3959">
              <w:rPr>
                <w:rFonts w:ascii="Arial" w:hAnsi="Arial" w:cs="Arial"/>
              </w:rPr>
              <w:t>0-24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343E85" w:rsidRPr="007B3959" w:rsidRDefault="00343E85" w:rsidP="00D6113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7B3959">
        <w:rPr>
          <w:rFonts w:ascii="Arial" w:hAnsi="Arial" w:cs="Arial"/>
          <w:b/>
          <w:caps/>
          <w:sz w:val="24"/>
          <w:szCs w:val="24"/>
          <w:lang w:val="ru-RU"/>
        </w:rPr>
        <w:t>график проведения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См. расписание в системе UNIVER.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7B3959">
        <w:rPr>
          <w:rFonts w:ascii="Arial" w:hAnsi="Arial" w:cs="Arial"/>
          <w:b/>
          <w:caps/>
          <w:sz w:val="24"/>
          <w:szCs w:val="24"/>
          <w:lang w:val="ru-RU"/>
        </w:rPr>
        <w:t>Темы для подготовки к экзамену</w:t>
      </w: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 xml:space="preserve">Модуль 1. Современные теории МО и глобального развития; рамки и методы изучения 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природа МО с точки зрения таких теорий как Реализм, Либерализм и Марксизм: 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роль государств в МО с точки зрения таких теорий как Реализм, Либерализм и Марксизм;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национальный интерес с точки зрения таких теорий как Реализм, Либерализм и Марксизм.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отличия классического реализма от неореализма;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отличия либерализма от и неолиберализма;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содержание Мир-системной теории МО;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характеристики отличающие великие державы от остальных акторов МО;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понятия однополярный, биполярный и многополярный миропорядок;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характеристики вестфальской системы МО;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характеристики венской системы МО;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характеристики версальской системы МО;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характеристики ялтинско -потсдамской системы МО.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устойчивое развитие;</w:t>
      </w:r>
    </w:p>
    <w:p w:rsidR="00343E85" w:rsidRPr="007B3959" w:rsidRDefault="00343E85" w:rsidP="00343E8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устойчивый рост (экономический).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Рекомендуется иметь четкое представление о том, что означают следующие термины: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lastRenderedPageBreak/>
        <w:t>Акторы и участники МО;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Баланс сил;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Дилемма безопасности;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Анархия МО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Режим (международный);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Международное сообщество и международное общество;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Взаимозависимость;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Теория демократического мира;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Иерархия МО;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Империализм;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Исторический материализм;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Роль государств в МО;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Взаимозависимость, транснационализм, глобализация;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Мир-системный анализ, центр-  полу периферия, периферия;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Великая держава;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Миропорядок;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Однополярность, биполярность, многополярность;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Суверенитет;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Невмешательство во внутренние дела государства;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Формальное равенство государств;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Колониализм;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Империализм;</w:t>
      </w:r>
    </w:p>
    <w:p w:rsidR="00343E85" w:rsidRPr="007B3959" w:rsidRDefault="00343E85" w:rsidP="00343E8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Право народов на самоопределение.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 xml:space="preserve">Список рекомендуемой литературы (доступно в </w:t>
      </w:r>
      <w:proofErr w:type="spellStart"/>
      <w:r w:rsidRPr="007B3959">
        <w:rPr>
          <w:rFonts w:ascii="Arial" w:hAnsi="Arial" w:cs="Arial"/>
          <w:b/>
          <w:sz w:val="24"/>
          <w:szCs w:val="24"/>
          <w:lang w:val="ru-RU"/>
        </w:rPr>
        <w:t>PDFв</w:t>
      </w:r>
      <w:proofErr w:type="spellEnd"/>
      <w:r w:rsidRPr="007B3959">
        <w:rPr>
          <w:rFonts w:ascii="Arial" w:hAnsi="Arial" w:cs="Arial"/>
          <w:b/>
          <w:sz w:val="24"/>
          <w:szCs w:val="24"/>
          <w:lang w:val="ru-RU"/>
        </w:rPr>
        <w:t xml:space="preserve"> системе UNIVER, см. УМКД «Дополнительный материал»):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Ачкасов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В. А., &amp;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Бобылев, С. Н., &amp; Соловьева, С. В. (2016). Новые цели для новой экономики. Мир новой экономики, (1).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Барановский, В. Г. (2017). Трансформация глобального миропорядка: динамика системных изменений. Полис. Политические исследования, 3, 7191.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Карпович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О. (2014). Глобальные проблемы международных отношений в контексте формирующегося многополярного мира. Международная жизнь, (5), 87-102.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Модуль 2. Практика МО и Современная система МО, глобальное развитие: режимы и институты: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международные режимы и институты в современной системе МО;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lastRenderedPageBreak/>
        <w:t>политическое сотрудничество в системе МО;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политическое противостояние;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политические механизмы и инструменты вешней политики;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роль ООН в сфере поддержания международной безопасности;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роль ОДКБ в поддержании международной безопасности на региональном уровне;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«нетрадиционные» угрозы безопасности;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терроризм;</w:t>
      </w:r>
    </w:p>
    <w:p w:rsidR="00343E85" w:rsidRPr="007B3959" w:rsidRDefault="00343E85" w:rsidP="00343E8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режимы, институты и механизмы международного экономической сотрудничества в сфере экономического сотрудничества и торговли.</w:t>
      </w: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Рекомендуется иметь четкое представление о том, что означают следующие термины: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Современная система МО, 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Международные режимы и институты: политические, экономические, безопасности, по правам человека;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Многосторонние договоры;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Акторы и участники МО;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Устав ООН;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СБ ООН;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Региональные режимы безопасности;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Военный блок;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НАТО;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ОДКБ;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«Нетрадиционные» угрозы безопасности;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Терроризм;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МВФ;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ВБРР;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ВТО;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общий рынок;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свободное движение товаров, услуг, труда и капитала;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протекционизм;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экономическая глобализация;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международное экономическое сотрудничество;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международная торговля;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международная валютно-финансовая сфера;</w:t>
      </w:r>
    </w:p>
    <w:p w:rsidR="00343E85" w:rsidRPr="007B3959" w:rsidRDefault="00343E85" w:rsidP="00343E8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международные инвестиции.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Список рекомендуемой литературы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 (доступно в PDF в системе UNIVER, см. УМКД «Дополнительный материал»):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Ачкасов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В. А., &amp;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С. А., &amp;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Усмонов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Елфимов, В. А. (1998). Международный режим нераспространения ядерного оружия: политические аспекты функционирования.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lastRenderedPageBreak/>
        <w:t>Снапковский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В. Е. (2000). Международные организации в системе международных отношений.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Шинкарецкая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Г. Г. (2010). Судебные средства разрешения международных споров (тенденции развития). Ученые </w:t>
      </w:r>
      <w:proofErr w:type="gramStart"/>
      <w:r w:rsidRPr="007B3959">
        <w:rPr>
          <w:rFonts w:ascii="Arial" w:hAnsi="Arial" w:cs="Arial"/>
          <w:sz w:val="24"/>
          <w:szCs w:val="24"/>
          <w:lang w:val="ru-RU"/>
        </w:rPr>
        <w:t>России.—</w:t>
      </w:r>
      <w:proofErr w:type="gramEnd"/>
      <w:r w:rsidRPr="007B3959">
        <w:rPr>
          <w:rFonts w:ascii="Arial" w:hAnsi="Arial" w:cs="Arial"/>
          <w:sz w:val="24"/>
          <w:szCs w:val="24"/>
          <w:lang w:val="ru-RU"/>
        </w:rPr>
        <w:t xml:space="preserve">Режим доступа:&lt; http://www.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famous-scientists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ru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list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/1001&gt;.—Дата доступа, 7.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Иванов, Г. И., &amp;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Тарасьянц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Е. В. (2006). Права человека.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Карташкин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В. А. (2013). Права человека и международная безопасность. Труды Института государства и права Российской академии наук, (1).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Финник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С. Г. (2013). Международный валютный фонд в системе международных экономических организаций.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Теорія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 і практика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правознавства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2(4).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Тукаев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А. А. (2018). Роль ООН в развитии МЭО. Редакционная коллегия, 321.</w:t>
      </w: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Модуль 3. Казахстан в современной системе МО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многосторонние договоры (режимы), участником которых является Казахстан по международной безопасности, правам человека, гуманитарному праву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достижения Казахстана в области нераспространение ядерного оружия и разоружения;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области мер доверия в Азии;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области предотвращения угрозы экстремизма и терроризма;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участие Казахстана в миротворческих миссиях и в реализации механизмов превентивной дипломатии и урегулирования. 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политика Казахстана в специализированных учреждениях ООН, таких как ВТО, МВФ, МБРР;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участие Казахстана в деятельности ШОС;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участие Казахстан в процессе евразийской экономической интеграции: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внешнеполитическая среда, в которой была формулирована доктрина многовекторность РК;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содержание доктрины многовекторности РК;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механизмы, форматы и институты использует Казахстан осуществляя политику многовекторности;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политика, инициативы и достижения Казахстана в ОБСЕ;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политика, инициативы и достижения Казахстана в ШОС;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политика, инициативы и достижения Казахстана в ОДКБ;</w:t>
      </w:r>
    </w:p>
    <w:p w:rsidR="00343E85" w:rsidRPr="007B3959" w:rsidRDefault="00343E85" w:rsidP="00343E8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политика, инициативы и достижения Казахстана в ЕЕС.</w:t>
      </w: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Рекомендуется иметь четкое представление о том, что означают следующие термины: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Нераспространение ядерного оружия 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Разоружение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Нетрадиционные угрозы безопасности: экстремизм и терроризм;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Миротворческая миссия 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Превентивная дипломатия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Экономическая интеграция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Общий рынок;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Таможенный союз; 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Экономический союз 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Внешнеполитическая доктрина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lastRenderedPageBreak/>
        <w:t>Многовекторная политика государств;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Содержание и цели внешней политики;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Механизмы, форматы и институты осуществления внешней политики.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Многосторонний международные институты и режимы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Многосторонний формат внешней политики</w:t>
      </w:r>
    </w:p>
    <w:p w:rsidR="00343E85" w:rsidRPr="007B3959" w:rsidRDefault="00343E85" w:rsidP="00343E85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Политические инициативы.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b/>
          <w:sz w:val="24"/>
          <w:szCs w:val="24"/>
          <w:lang w:val="ru-RU"/>
        </w:rPr>
        <w:t>Список рекомендуемой литературы</w:t>
      </w:r>
      <w:r w:rsidRPr="007B3959">
        <w:rPr>
          <w:rFonts w:ascii="Arial" w:hAnsi="Arial" w:cs="Arial"/>
          <w:sz w:val="24"/>
          <w:szCs w:val="24"/>
          <w:lang w:val="ru-RU"/>
        </w:rPr>
        <w:t xml:space="preserve"> (доступно в PDF в системе UNIVER, см. УМКД «Дополнительный материал»):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Назарбаев, Н. А. (2017). Взгляд в будущее: модернизация общественного сознания. Казахстанская правда, 13(71), 1.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Назарбаев, Н. А. (2007). Новый Казахстан в новом мире. Казахстанская правда, 1(33), 1.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Білім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Токаев, К. К. (2000). Внешняя политика Казахстана в условиях глобализации. Алматы: Онер.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Токаев, К. К. (2001). Дипломатия Республики Казахстан. Астана: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Елорда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552, 274.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Амангельдин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Р. (2014). Вклад Казахстана в дело ядерного разоружения. Международный научно-исследовательский журнал, (1 (20) Часть 4), 115-117.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Жанбулатова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Р., &amp;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Малинбаева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Concorde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(3).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Мармонтова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Лаумулин.М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., (2011). Некоторые проблемы современной внешней политики Казахстана. Центральная Азия и Кавказ, 14(1).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Жакьянова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А. М. (2017). Ресурсы «мягкой силы» во внешней политике Казахстана. Дискурс-Пи, 14(1).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Жанбулатова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, Р. С. (2015). ПРИОРИТЕТЫ ВНЕШНЕЙ ПОЛИТИКИ КАЗАХСТАНА. Исторические традиции и современность.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Concorde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(5).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Нугманова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К. Ж. МНОГОВЕКТОРНАЯ ПОЛИТИКА ПРЕЗИДЕНТА РЕСПУБЛИКИ КАЗАХСТАН НА НАЗАРБАЕВА. ОТВЕТЫ НА ВЫЗОВЫ ВРЕМЕНИ. CONTEMPORARY EURASIAN STUDIES, 21.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 xml:space="preserve">Нурымбетова Г., </w:t>
      </w: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Кудайбергенов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 xml:space="preserve"> Р. (2010). Внешнеполитические инициативы Президента Республики Казахстан Н.А. Назарбаева 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7B3959">
        <w:rPr>
          <w:rFonts w:ascii="Arial" w:hAnsi="Arial" w:cs="Arial"/>
          <w:sz w:val="24"/>
          <w:szCs w:val="24"/>
          <w:lang w:val="ru-RU"/>
        </w:rPr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7B3959">
        <w:rPr>
          <w:rFonts w:ascii="Arial" w:hAnsi="Arial" w:cs="Arial"/>
          <w:sz w:val="24"/>
          <w:szCs w:val="24"/>
          <w:lang w:val="ru-RU"/>
        </w:rPr>
        <w:t>Фаизова</w:t>
      </w:r>
      <w:proofErr w:type="spellEnd"/>
      <w:r w:rsidRPr="007B3959">
        <w:rPr>
          <w:rFonts w:ascii="Arial" w:hAnsi="Arial" w:cs="Arial"/>
          <w:sz w:val="24"/>
          <w:szCs w:val="24"/>
          <w:lang w:val="ru-RU"/>
        </w:rPr>
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</w:t>
      </w:r>
    </w:p>
    <w:p w:rsidR="00343E85" w:rsidRPr="007B3959" w:rsidRDefault="00343E85" w:rsidP="00343E85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14CD0" w:rsidRPr="007B3959" w:rsidRDefault="00914CD0"/>
    <w:sectPr w:rsidR="00914CD0" w:rsidRPr="007B395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D56"/>
    <w:multiLevelType w:val="hybridMultilevel"/>
    <w:tmpl w:val="63D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454CC"/>
    <w:multiLevelType w:val="hybridMultilevel"/>
    <w:tmpl w:val="DB3C20B2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97AA3"/>
    <w:multiLevelType w:val="hybridMultilevel"/>
    <w:tmpl w:val="4A76F8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57BF"/>
    <w:multiLevelType w:val="hybridMultilevel"/>
    <w:tmpl w:val="18F4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3E23"/>
    <w:multiLevelType w:val="hybridMultilevel"/>
    <w:tmpl w:val="F7200A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0BAE"/>
    <w:multiLevelType w:val="hybridMultilevel"/>
    <w:tmpl w:val="8FB6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42C2A"/>
    <w:multiLevelType w:val="hybridMultilevel"/>
    <w:tmpl w:val="0CCE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646C"/>
    <w:multiLevelType w:val="hybridMultilevel"/>
    <w:tmpl w:val="B520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5DBB"/>
    <w:multiLevelType w:val="hybridMultilevel"/>
    <w:tmpl w:val="495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85"/>
    <w:rsid w:val="00343E85"/>
    <w:rsid w:val="007B3959"/>
    <w:rsid w:val="009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9DAD"/>
  <w15:chartTrackingRefBased/>
  <w15:docId w15:val="{3F6F43CD-6971-4F82-B0F0-51210284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2044</Words>
  <Characters>11657</Characters>
  <Application>Microsoft Office Word</Application>
  <DocSecurity>0</DocSecurity>
  <Lines>97</Lines>
  <Paragraphs>27</Paragraphs>
  <ScaleCrop>false</ScaleCrop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2020-11-17T12:51:00Z</dcterms:created>
  <dcterms:modified xsi:type="dcterms:W3CDTF">2020-11-17T12:59:00Z</dcterms:modified>
</cp:coreProperties>
</file>